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9A23D6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3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01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B9274C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9A23D6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3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15</w:t>
      </w:r>
    </w:p>
    <w:p w:rsidR="00592A40" w:rsidRDefault="003813DD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p w:rsidR="00141B01" w:rsidRPr="00141B01" w:rsidRDefault="00141B01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本院地址：台北市大安區長興街</w:t>
      </w: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75</w:t>
      </w: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號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（台大</w:t>
      </w:r>
      <w:r w:rsidR="00241DB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男三舍、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生物技術研究中心旁）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565"/>
        <w:gridCol w:w="1457"/>
        <w:gridCol w:w="6264"/>
        <w:gridCol w:w="2126"/>
        <w:gridCol w:w="2362"/>
      </w:tblGrid>
      <w:tr w:rsidR="00D11827" w:rsidRPr="00DA4817" w:rsidTr="001661F6">
        <w:trPr>
          <w:trHeight w:val="510"/>
          <w:jc w:val="center"/>
        </w:trPr>
        <w:tc>
          <w:tcPr>
            <w:tcW w:w="160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550" w:type="pct"/>
            <w:shd w:val="clear" w:color="auto" w:fill="D0CECE"/>
            <w:vAlign w:val="center"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512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220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747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83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8001EE" w:rsidRPr="008001EE" w:rsidTr="001661F6">
        <w:trPr>
          <w:trHeight w:val="630"/>
          <w:jc w:val="center"/>
        </w:trPr>
        <w:tc>
          <w:tcPr>
            <w:tcW w:w="160" w:type="pct"/>
            <w:vAlign w:val="center"/>
          </w:tcPr>
          <w:p w:rsidR="001661F6" w:rsidRPr="008001EE" w:rsidRDefault="001661F6" w:rsidP="001661F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50" w:type="pct"/>
            <w:vAlign w:val="center"/>
          </w:tcPr>
          <w:p w:rsidR="001661F6" w:rsidRPr="008001EE" w:rsidRDefault="001661F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 w:rsidR="009A23D6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9A23D6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CB7E27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br/>
              <w:t>10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:00-12:00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Pr="008001EE" w:rsidRDefault="001661F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1年</w:t>
            </w:r>
            <w:r w:rsidR="009A23D6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月臺灣採購經理人指數發布記者會</w:t>
            </w:r>
          </w:p>
        </w:tc>
        <w:tc>
          <w:tcPr>
            <w:tcW w:w="22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Pr="008001EE" w:rsidRDefault="001661F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中華經濟研究院訂於本（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1）年</w:t>
            </w:r>
            <w:r w:rsidR="009A23D6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CB7E27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日（星期</w:t>
            </w:r>
            <w:r w:rsidR="00CB7E27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）上午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  <w:proofErr w:type="gramStart"/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假本院</w:t>
            </w:r>
            <w:proofErr w:type="gramEnd"/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會議室舉行「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1年</w:t>
            </w:r>
            <w:r w:rsidR="009A23D6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月臺灣採購經理人指數發布記者會」，發表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202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1年</w:t>
            </w:r>
            <w:r w:rsidR="009A23D6"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月份臺灣製造業採購經理人指數及非製造業經理人指數，並說明各項指數變化趨勢。</w:t>
            </w:r>
          </w:p>
          <w:p w:rsidR="001661F6" w:rsidRPr="008001EE" w:rsidRDefault="001661F6" w:rsidP="001661F6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為便於媒體採訪，以及與會學者專家充分抒發卓見，會議將分二階段進行，第一階段為簡報說明，時間為上午10時至10時30分，10時30分起開放提問與討論。記者會由本院</w:t>
            </w:r>
            <w:proofErr w:type="gramStart"/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張院長傳章主持</w:t>
            </w:r>
            <w:proofErr w:type="gramEnd"/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，歡迎學者專家參加，以及媒體採訪。</w:t>
            </w:r>
            <w:bookmarkStart w:id="0" w:name="_GoBack"/>
            <w:bookmarkEnd w:id="0"/>
          </w:p>
        </w:tc>
        <w:tc>
          <w:tcPr>
            <w:tcW w:w="7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Pr="008001EE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本院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會議室</w:t>
            </w:r>
          </w:p>
          <w:p w:rsidR="001661F6" w:rsidRPr="008001EE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（台北市大安區長興街75號）</w:t>
            </w:r>
          </w:p>
        </w:tc>
        <w:tc>
          <w:tcPr>
            <w:tcW w:w="8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1F6" w:rsidRPr="008001EE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第三研究所邱小姐：</w:t>
            </w:r>
          </w:p>
          <w:p w:rsidR="001661F6" w:rsidRPr="008001EE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02-2735-6006分機4226；</w:t>
            </w:r>
          </w:p>
          <w:p w:rsidR="001661F6" w:rsidRPr="008001EE" w:rsidRDefault="001661F6" w:rsidP="001661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kwr@cier.edu.tw</w:t>
            </w:r>
          </w:p>
        </w:tc>
      </w:tr>
      <w:tr w:rsidR="00C2602A" w:rsidRPr="00C2602A" w:rsidTr="008001EE">
        <w:trPr>
          <w:trHeight w:val="5664"/>
          <w:jc w:val="center"/>
        </w:trPr>
        <w:tc>
          <w:tcPr>
            <w:tcW w:w="160" w:type="pct"/>
            <w:vAlign w:val="center"/>
          </w:tcPr>
          <w:p w:rsidR="009A23D6" w:rsidRPr="00C2602A" w:rsidRDefault="009A23D6" w:rsidP="001661F6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50" w:type="pct"/>
            <w:vAlign w:val="center"/>
          </w:tcPr>
          <w:p w:rsidR="009A23D6" w:rsidRPr="00C2602A" w:rsidRDefault="009A23D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2021/3/17</w:t>
            </w:r>
          </w:p>
          <w:p w:rsidR="009A23D6" w:rsidRPr="00C2602A" w:rsidRDefault="009A23D6" w:rsidP="001661F6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/>
                <w:sz w:val="20"/>
                <w:szCs w:val="20"/>
              </w:rPr>
              <w:t>13:30-17:00</w:t>
            </w:r>
          </w:p>
        </w:tc>
        <w:tc>
          <w:tcPr>
            <w:tcW w:w="5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D6" w:rsidRPr="00C2602A" w:rsidRDefault="009A23D6" w:rsidP="001661F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展望中國大陸十四五期間改革與發展趨勢研討會</w:t>
            </w:r>
          </w:p>
        </w:tc>
        <w:tc>
          <w:tcPr>
            <w:tcW w:w="22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D6" w:rsidRPr="009A23D6" w:rsidRDefault="00C2602A" w:rsidP="009A23D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在國際環境不確定性因素增多之際，各界皆高度關注中國大陸經濟情勢、兩岸關係發展，乃至臺灣未來對中策略方向。</w:t>
            </w:r>
            <w:r w:rsidR="009A23D6" w:rsidRPr="009A23D6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9A23D6" w:rsidRPr="009A23D6"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月，中國大陸公布</w:t>
            </w:r>
            <w:proofErr w:type="gramStart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《</w:t>
            </w:r>
            <w:proofErr w:type="gramEnd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中共中央關於制定國民經濟和社會發展第十四</w:t>
            </w:r>
            <w:proofErr w:type="gramStart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個</w:t>
            </w:r>
            <w:proofErr w:type="gramEnd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五年規劃和二〇三五年遠景目標的建議》，除了訂立未來</w:t>
            </w:r>
            <w:r w:rsidR="009A23D6" w:rsidRPr="009A23D6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年的國家發展方向之外，亦勾勒出達成其</w:t>
            </w:r>
            <w:r w:rsidR="009A23D6" w:rsidRPr="009A23D6">
              <w:rPr>
                <w:rFonts w:ascii="微軟正黑體" w:eastAsia="微軟正黑體" w:hAnsi="微軟正黑體"/>
                <w:sz w:val="20"/>
                <w:szCs w:val="20"/>
              </w:rPr>
              <w:t>2035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年遠景目標的長期策略。外界皆視「十四五規劃」為中國大陸經濟布局的風向球，是預先掌握中國大陸未來發展方向的重要指標。</w:t>
            </w:r>
          </w:p>
          <w:p w:rsidR="009A23D6" w:rsidRPr="009A23D6" w:rsidRDefault="00C2602A" w:rsidP="009A23D6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十四五規劃擬透過以雙循環為主軸，新基建為動能，以產業自主創新為目標，並以區域協調發展為思路，透過擴大內需、提振消費，加強出口轉內銷及出口多元化，推動科技產品進口替代及</w:t>
            </w:r>
            <w:proofErr w:type="gramStart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採</w:t>
            </w:r>
            <w:proofErr w:type="gramEnd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數位基建為核心延伸至各產業的新技術、新模式、新領域等作法。希望藉由刺激內需發展，再次達成穩定經濟成長的重要任務，化危機為轉機，逐步實現</w:t>
            </w:r>
            <w:r w:rsidR="009A23D6" w:rsidRPr="009A23D6">
              <w:rPr>
                <w:rFonts w:ascii="微軟正黑體" w:eastAsia="微軟正黑體" w:hAnsi="微軟正黑體"/>
                <w:sz w:val="20"/>
                <w:szCs w:val="20"/>
              </w:rPr>
              <w:t>2035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年遠景目標。</w:t>
            </w:r>
            <w:proofErr w:type="gramStart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其亮點</w:t>
            </w:r>
            <w:proofErr w:type="gramEnd"/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為調降經濟成長率目標，轉而聚焦成長品質、對外政策可望持續開放、創新與科技將成為戰略性支柱產業以及視環保承諾為重要環節。</w:t>
            </w:r>
          </w:p>
          <w:p w:rsidR="00C2602A" w:rsidRDefault="00C2602A" w:rsidP="00C2602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可以預期，中國大陸「十四五規劃」的經濟社會發展戰略，以及拜登政府的中國政策走向，將成為未來至少</w:t>
            </w:r>
            <w:r w:rsidR="009A23D6" w:rsidRPr="009A23D6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="009A23D6" w:rsidRPr="009A23D6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="009A23D6" w:rsidRPr="009A23D6">
              <w:rPr>
                <w:rFonts w:ascii="微軟正黑體" w:eastAsia="微軟正黑體" w:hAnsi="微軟正黑體" w:hint="eastAsia"/>
                <w:sz w:val="20"/>
                <w:szCs w:val="20"/>
              </w:rPr>
              <w:t>年影響兩岸互動模式與臺灣對中政策的關鍵背景因素。</w:t>
            </w:r>
          </w:p>
          <w:p w:rsidR="009A23D6" w:rsidRDefault="00C2602A" w:rsidP="00C2602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活動網站：</w:t>
            </w:r>
            <w:hyperlink r:id="rId7" w:history="1">
              <w:r w:rsidRPr="00306846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https://www.cier.edu.tw/news/detail/80225</w:t>
              </w:r>
            </w:hyperlink>
          </w:p>
          <w:p w:rsidR="00C2602A" w:rsidRPr="00C2602A" w:rsidRDefault="00C2602A" w:rsidP="00C2602A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報名網址：</w:t>
            </w:r>
            <w:hyperlink r:id="rId8" w:history="1">
              <w:r w:rsidRPr="00306846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https://reurl.cc/0DZvVk</w:t>
              </w:r>
            </w:hyperlink>
          </w:p>
        </w:tc>
        <w:tc>
          <w:tcPr>
            <w:tcW w:w="7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D6" w:rsidRPr="00C2602A" w:rsidRDefault="00C2602A" w:rsidP="001661F6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本院蔣碩傑國際會議廳（</w:t>
            </w: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台北市大安區長興街75號</w:t>
            </w: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8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23D6" w:rsidRPr="00C2602A" w:rsidRDefault="00C2602A" w:rsidP="001661F6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2602A">
              <w:rPr>
                <w:rFonts w:ascii="微軟正黑體" w:eastAsia="微軟正黑體" w:hAnsi="微軟正黑體"/>
                <w:sz w:val="20"/>
                <w:szCs w:val="20"/>
              </w:rPr>
              <w:t>02</w:t>
            </w: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C2602A">
              <w:rPr>
                <w:rFonts w:ascii="微軟正黑體" w:eastAsia="微軟正黑體" w:hAnsi="微軟正黑體"/>
                <w:sz w:val="20"/>
                <w:szCs w:val="20"/>
              </w:rPr>
              <w:t>2735-6006</w:t>
            </w: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分機</w:t>
            </w:r>
            <w:r w:rsidRPr="00C2602A">
              <w:rPr>
                <w:rFonts w:ascii="微軟正黑體" w:eastAsia="微軟正黑體" w:hAnsi="微軟正黑體"/>
                <w:sz w:val="20"/>
                <w:szCs w:val="20"/>
              </w:rPr>
              <w:t>103</w:t>
            </w:r>
            <w:r w:rsidRPr="00C2602A">
              <w:rPr>
                <w:rFonts w:ascii="微軟正黑體" w:eastAsia="微軟正黑體" w:hAnsi="微軟正黑體" w:hint="eastAsia"/>
                <w:sz w:val="20"/>
                <w:szCs w:val="20"/>
              </w:rPr>
              <w:t>莊小姐</w:t>
            </w:r>
          </w:p>
        </w:tc>
      </w:tr>
    </w:tbl>
    <w:p w:rsidR="009F56D2" w:rsidRPr="001661F6" w:rsidRDefault="009F56D2" w:rsidP="003813DD">
      <w:pPr>
        <w:pStyle w:val="Web"/>
        <w:rPr>
          <w:rFonts w:ascii="微軟正黑體" w:eastAsia="微軟正黑體" w:hAnsi="微軟正黑體" w:hint="eastAsia"/>
          <w:sz w:val="20"/>
          <w:szCs w:val="20"/>
        </w:rPr>
      </w:pPr>
    </w:p>
    <w:sectPr w:rsidR="009F56D2" w:rsidRPr="001661F6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FC" w:rsidRDefault="002278FC" w:rsidP="00695DD1">
      <w:r>
        <w:separator/>
      </w:r>
    </w:p>
  </w:endnote>
  <w:endnote w:type="continuationSeparator" w:id="0">
    <w:p w:rsidR="002278FC" w:rsidRDefault="002278FC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FC" w:rsidRDefault="002278FC" w:rsidP="00695DD1">
      <w:r>
        <w:separator/>
      </w:r>
    </w:p>
  </w:footnote>
  <w:footnote w:type="continuationSeparator" w:id="0">
    <w:p w:rsidR="002278FC" w:rsidRDefault="002278FC" w:rsidP="0069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0D6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02A4B"/>
    <w:rsid w:val="00022E53"/>
    <w:rsid w:val="000406EA"/>
    <w:rsid w:val="00051098"/>
    <w:rsid w:val="0005359B"/>
    <w:rsid w:val="000700A5"/>
    <w:rsid w:val="000830AC"/>
    <w:rsid w:val="000A554E"/>
    <w:rsid w:val="000A6D65"/>
    <w:rsid w:val="000C4A16"/>
    <w:rsid w:val="000D2FBA"/>
    <w:rsid w:val="000D5584"/>
    <w:rsid w:val="00141B01"/>
    <w:rsid w:val="00160A1E"/>
    <w:rsid w:val="00164C1B"/>
    <w:rsid w:val="00165B86"/>
    <w:rsid w:val="001661F6"/>
    <w:rsid w:val="0016686A"/>
    <w:rsid w:val="00167838"/>
    <w:rsid w:val="001B4547"/>
    <w:rsid w:val="001D7E45"/>
    <w:rsid w:val="002278FC"/>
    <w:rsid w:val="00241DB5"/>
    <w:rsid w:val="0024367A"/>
    <w:rsid w:val="00247452"/>
    <w:rsid w:val="0025648E"/>
    <w:rsid w:val="0026056D"/>
    <w:rsid w:val="00270EBF"/>
    <w:rsid w:val="0029308B"/>
    <w:rsid w:val="002A1290"/>
    <w:rsid w:val="002A1B95"/>
    <w:rsid w:val="002A2693"/>
    <w:rsid w:val="002C27B0"/>
    <w:rsid w:val="002E1270"/>
    <w:rsid w:val="002F5420"/>
    <w:rsid w:val="00310D79"/>
    <w:rsid w:val="003117AA"/>
    <w:rsid w:val="00312DAA"/>
    <w:rsid w:val="003223B7"/>
    <w:rsid w:val="00345CD7"/>
    <w:rsid w:val="00356990"/>
    <w:rsid w:val="003813DD"/>
    <w:rsid w:val="003A1290"/>
    <w:rsid w:val="003B0802"/>
    <w:rsid w:val="003D4E86"/>
    <w:rsid w:val="003E4133"/>
    <w:rsid w:val="003F20DE"/>
    <w:rsid w:val="003F6446"/>
    <w:rsid w:val="00402F93"/>
    <w:rsid w:val="00414F04"/>
    <w:rsid w:val="00445C2A"/>
    <w:rsid w:val="00447020"/>
    <w:rsid w:val="004509EE"/>
    <w:rsid w:val="00451399"/>
    <w:rsid w:val="004C7124"/>
    <w:rsid w:val="004D026E"/>
    <w:rsid w:val="0051441A"/>
    <w:rsid w:val="005161C6"/>
    <w:rsid w:val="00547A86"/>
    <w:rsid w:val="00547C2F"/>
    <w:rsid w:val="005530D8"/>
    <w:rsid w:val="00570AD6"/>
    <w:rsid w:val="00576153"/>
    <w:rsid w:val="00580BE2"/>
    <w:rsid w:val="00592A40"/>
    <w:rsid w:val="00593A9A"/>
    <w:rsid w:val="005B1924"/>
    <w:rsid w:val="005C625C"/>
    <w:rsid w:val="005C70A5"/>
    <w:rsid w:val="005F21B4"/>
    <w:rsid w:val="00612F53"/>
    <w:rsid w:val="00617533"/>
    <w:rsid w:val="00637DA0"/>
    <w:rsid w:val="00666638"/>
    <w:rsid w:val="0068633A"/>
    <w:rsid w:val="00694B8B"/>
    <w:rsid w:val="00695DD1"/>
    <w:rsid w:val="006B5FE4"/>
    <w:rsid w:val="006C392A"/>
    <w:rsid w:val="006E1E4A"/>
    <w:rsid w:val="00731A56"/>
    <w:rsid w:val="00732876"/>
    <w:rsid w:val="007346E3"/>
    <w:rsid w:val="007811DB"/>
    <w:rsid w:val="007A2D3F"/>
    <w:rsid w:val="007B77C9"/>
    <w:rsid w:val="007C0E3F"/>
    <w:rsid w:val="007C4CD0"/>
    <w:rsid w:val="007E5825"/>
    <w:rsid w:val="008001EE"/>
    <w:rsid w:val="00805B28"/>
    <w:rsid w:val="00811DE1"/>
    <w:rsid w:val="00845973"/>
    <w:rsid w:val="00853016"/>
    <w:rsid w:val="00862861"/>
    <w:rsid w:val="00867476"/>
    <w:rsid w:val="0087214E"/>
    <w:rsid w:val="00886582"/>
    <w:rsid w:val="008A0FEE"/>
    <w:rsid w:val="008A4555"/>
    <w:rsid w:val="008B28CB"/>
    <w:rsid w:val="008B4E80"/>
    <w:rsid w:val="008B62E3"/>
    <w:rsid w:val="008D6126"/>
    <w:rsid w:val="00903281"/>
    <w:rsid w:val="00903FC0"/>
    <w:rsid w:val="00940765"/>
    <w:rsid w:val="0094205F"/>
    <w:rsid w:val="00944437"/>
    <w:rsid w:val="0096128E"/>
    <w:rsid w:val="00965340"/>
    <w:rsid w:val="00973A52"/>
    <w:rsid w:val="00997E18"/>
    <w:rsid w:val="009A23D6"/>
    <w:rsid w:val="009B1F14"/>
    <w:rsid w:val="009B57AE"/>
    <w:rsid w:val="009C16AA"/>
    <w:rsid w:val="009C4F48"/>
    <w:rsid w:val="009E2103"/>
    <w:rsid w:val="009F56D2"/>
    <w:rsid w:val="00A13608"/>
    <w:rsid w:val="00A71D9F"/>
    <w:rsid w:val="00AA35C5"/>
    <w:rsid w:val="00AA407D"/>
    <w:rsid w:val="00AA5329"/>
    <w:rsid w:val="00AD4061"/>
    <w:rsid w:val="00AD4CC5"/>
    <w:rsid w:val="00AF3133"/>
    <w:rsid w:val="00B05A1B"/>
    <w:rsid w:val="00B12F14"/>
    <w:rsid w:val="00B20A2A"/>
    <w:rsid w:val="00B30ADE"/>
    <w:rsid w:val="00B3789F"/>
    <w:rsid w:val="00B556A3"/>
    <w:rsid w:val="00B7172B"/>
    <w:rsid w:val="00B80354"/>
    <w:rsid w:val="00B9274C"/>
    <w:rsid w:val="00BC3A01"/>
    <w:rsid w:val="00BE0075"/>
    <w:rsid w:val="00C06769"/>
    <w:rsid w:val="00C2602A"/>
    <w:rsid w:val="00C74429"/>
    <w:rsid w:val="00C7470E"/>
    <w:rsid w:val="00C90A13"/>
    <w:rsid w:val="00CB7E27"/>
    <w:rsid w:val="00D11827"/>
    <w:rsid w:val="00D17444"/>
    <w:rsid w:val="00D34E13"/>
    <w:rsid w:val="00D5209D"/>
    <w:rsid w:val="00D7453E"/>
    <w:rsid w:val="00DA0A83"/>
    <w:rsid w:val="00DA4817"/>
    <w:rsid w:val="00DB5C3A"/>
    <w:rsid w:val="00DC7D96"/>
    <w:rsid w:val="00DE5FF7"/>
    <w:rsid w:val="00DF30D3"/>
    <w:rsid w:val="00E1397A"/>
    <w:rsid w:val="00E22267"/>
    <w:rsid w:val="00E23C0F"/>
    <w:rsid w:val="00E53792"/>
    <w:rsid w:val="00E76141"/>
    <w:rsid w:val="00E84B03"/>
    <w:rsid w:val="00E91C86"/>
    <w:rsid w:val="00E96D1E"/>
    <w:rsid w:val="00EA762B"/>
    <w:rsid w:val="00ED7F26"/>
    <w:rsid w:val="00EF4AD2"/>
    <w:rsid w:val="00F05970"/>
    <w:rsid w:val="00F239E0"/>
    <w:rsid w:val="00F43EBE"/>
    <w:rsid w:val="00F60A75"/>
    <w:rsid w:val="00FA2661"/>
    <w:rsid w:val="00FA2DCC"/>
    <w:rsid w:val="00FC75EC"/>
    <w:rsid w:val="00FD6B16"/>
    <w:rsid w:val="00FE6A8B"/>
    <w:rsid w:val="00FF513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7FD39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6128E"/>
    <w:pPr>
      <w:spacing w:before="100" w:beforeAutospacing="1" w:after="100" w:afterAutospacing="1"/>
    </w:pPr>
  </w:style>
  <w:style w:type="character" w:styleId="a5">
    <w:name w:val="Unresolved Mention"/>
    <w:basedOn w:val="a1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6">
    <w:name w:val="Strong"/>
    <w:basedOn w:val="a1"/>
    <w:uiPriority w:val="22"/>
    <w:qFormat/>
    <w:rsid w:val="0016686A"/>
    <w:rPr>
      <w:b/>
      <w:bCs/>
    </w:rPr>
  </w:style>
  <w:style w:type="paragraph" w:styleId="a7">
    <w:name w:val="header"/>
    <w:basedOn w:val="a0"/>
    <w:link w:val="a8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0"/>
    <w:link w:val="aa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b">
    <w:name w:val="Table Grid"/>
    <w:basedOn w:val="a2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0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1"/>
    <w:rsid w:val="00576153"/>
    <w:rPr>
      <w:rFonts w:ascii="微軟正黑體" w:eastAsia="微軟正黑體" w:hAnsi="微軟正黑體" w:hint="eastAsia"/>
    </w:rPr>
  </w:style>
  <w:style w:type="paragraph" w:styleId="a">
    <w:name w:val="List Bullet"/>
    <w:basedOn w:val="a0"/>
    <w:uiPriority w:val="99"/>
    <w:unhideWhenUsed/>
    <w:rsid w:val="00B7172B"/>
    <w:pPr>
      <w:numPr>
        <w:numId w:val="1"/>
      </w:numPr>
      <w:contextualSpacing/>
    </w:pPr>
  </w:style>
  <w:style w:type="character" w:customStyle="1" w:styleId="style91">
    <w:name w:val="style91"/>
    <w:basedOn w:val="a1"/>
    <w:rsid w:val="003223B7"/>
  </w:style>
  <w:style w:type="character" w:customStyle="1" w:styleId="6qdm">
    <w:name w:val="_6qdm"/>
    <w:basedOn w:val="a1"/>
    <w:rsid w:val="00FE6A8B"/>
  </w:style>
  <w:style w:type="paragraph" w:customStyle="1" w:styleId="font8">
    <w:name w:val="font8"/>
    <w:basedOn w:val="a0"/>
    <w:rsid w:val="000D2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DZv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er.edu.tw/news/detail/80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97</cp:revision>
  <dcterms:created xsi:type="dcterms:W3CDTF">2019-07-04T08:34:00Z</dcterms:created>
  <dcterms:modified xsi:type="dcterms:W3CDTF">2021-02-24T07:39:00Z</dcterms:modified>
</cp:coreProperties>
</file>